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796E86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796E86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334B8E" wp14:editId="7EE65D59">
            <wp:simplePos x="0" y="0"/>
            <wp:positionH relativeFrom="column">
              <wp:posOffset>2653665</wp:posOffset>
            </wp:positionH>
            <wp:positionV relativeFrom="paragraph">
              <wp:posOffset>-338455</wp:posOffset>
            </wp:positionV>
            <wp:extent cx="371475" cy="5908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  <w:lang w:eastAsia="ru-RU"/>
        </w:rPr>
      </w:pP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96E86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96E86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796E86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96E86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796E86" w:rsidRDefault="00A95591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96E86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="00796E86" w:rsidRPr="00796E8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Тринадцатое заседание </w:t>
      </w:r>
      <w:r w:rsidRPr="00796E8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                    </w:t>
      </w: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796E86" w:rsidRDefault="00796E86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96E86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50</w:t>
      </w: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796E86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796E86">
        <w:rPr>
          <w:rFonts w:ascii="Liberation Serif" w:hAnsi="Liberation Serif" w:cs="Liberation Serif"/>
          <w:bCs/>
          <w:sz w:val="24"/>
          <w:szCs w:val="24"/>
        </w:rPr>
        <w:t>г.</w:t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 xml:space="preserve"> Волчанск</w:t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  <w:t xml:space="preserve">      </w:t>
      </w:r>
      <w:r w:rsidR="00796E86" w:rsidRPr="00796E86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30.10.</w:t>
      </w:r>
      <w:r w:rsidR="00A95591" w:rsidRPr="00796E86">
        <w:rPr>
          <w:rFonts w:ascii="Liberation Serif" w:hAnsi="Liberation Serif" w:cs="Liberation Serif"/>
          <w:bCs/>
          <w:sz w:val="24"/>
          <w:szCs w:val="24"/>
        </w:rPr>
        <w:t>2019</w:t>
      </w:r>
      <w:r w:rsidRPr="00796E86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0D40B4" w:rsidRPr="00796E86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96E86" w:rsidRPr="00796E86" w:rsidRDefault="00796E86" w:rsidP="00796E86">
      <w:pPr>
        <w:tabs>
          <w:tab w:val="left" w:pos="284"/>
        </w:tabs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D40B4" w:rsidRPr="00796E86" w:rsidRDefault="000D40B4" w:rsidP="00796E86">
      <w:pPr>
        <w:tabs>
          <w:tab w:val="left" w:pos="284"/>
        </w:tabs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96E86">
        <w:rPr>
          <w:rFonts w:ascii="Liberation Serif" w:hAnsi="Liberation Serif" w:cs="Liberation Serif"/>
          <w:b/>
          <w:sz w:val="24"/>
          <w:szCs w:val="24"/>
        </w:rPr>
        <w:t>Информация о детском травматизме на территории Волчанского городского округа</w:t>
      </w:r>
    </w:p>
    <w:p w:rsidR="000D40B4" w:rsidRPr="00796E86" w:rsidRDefault="000D40B4" w:rsidP="000D40B4">
      <w:pPr>
        <w:spacing w:after="0" w:line="240" w:lineRule="auto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796E86" w:rsidRDefault="00796E86" w:rsidP="000D40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796E86">
      <w:pPr>
        <w:autoSpaceDE w:val="0"/>
        <w:autoSpaceDN w:val="0"/>
        <w:adjustRightInd w:val="0"/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796E86">
        <w:rPr>
          <w:rFonts w:ascii="Liberation Serif" w:hAnsi="Liberation Serif" w:cs="Liberation Serif"/>
          <w:sz w:val="24"/>
          <w:szCs w:val="24"/>
        </w:rPr>
        <w:t xml:space="preserve">Заслушав информацию Бородулиной И.В., заместителя главы администрации Волчанского городского округа по социальным вопросам, о детском травматизме на территории Волчанского городского округа (за </w:t>
      </w:r>
      <w:r w:rsidR="00A95591" w:rsidRPr="00796E86">
        <w:rPr>
          <w:rFonts w:ascii="Liberation Serif" w:hAnsi="Liberation Serif" w:cs="Liberation Serif"/>
          <w:sz w:val="24"/>
          <w:szCs w:val="24"/>
        </w:rPr>
        <w:t>девять месяцев</w:t>
      </w:r>
      <w:r w:rsidRPr="00796E86">
        <w:rPr>
          <w:rFonts w:ascii="Liberation Serif" w:hAnsi="Liberation Serif" w:cs="Liberation Serif"/>
          <w:sz w:val="24"/>
          <w:szCs w:val="24"/>
        </w:rPr>
        <w:t xml:space="preserve"> 201</w:t>
      </w:r>
      <w:r w:rsidR="00A95591" w:rsidRPr="00796E86">
        <w:rPr>
          <w:rFonts w:ascii="Liberation Serif" w:hAnsi="Liberation Serif" w:cs="Liberation Serif"/>
          <w:sz w:val="24"/>
          <w:szCs w:val="24"/>
        </w:rPr>
        <w:t>9</w:t>
      </w:r>
      <w:r w:rsidRPr="00796E86">
        <w:rPr>
          <w:rFonts w:ascii="Liberation Serif" w:hAnsi="Liberation Serif" w:cs="Liberation Serif"/>
          <w:sz w:val="24"/>
          <w:szCs w:val="24"/>
        </w:rPr>
        <w:t xml:space="preserve"> года)</w:t>
      </w:r>
    </w:p>
    <w:p w:rsidR="00796E86" w:rsidRPr="00796E86" w:rsidRDefault="00796E86" w:rsidP="00796E86">
      <w:pPr>
        <w:spacing w:after="0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796E86">
      <w:pPr>
        <w:spacing w:after="0"/>
        <w:ind w:right="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96E86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0D40B4" w:rsidRPr="00796E86" w:rsidRDefault="000D40B4" w:rsidP="00796E86">
      <w:pPr>
        <w:widowControl w:val="0"/>
        <w:spacing w:after="0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796E86">
      <w:pPr>
        <w:pStyle w:val="a3"/>
        <w:widowControl w:val="0"/>
        <w:numPr>
          <w:ilvl w:val="0"/>
          <w:numId w:val="1"/>
        </w:numPr>
        <w:spacing w:after="0"/>
        <w:ind w:left="0" w:right="57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796E86">
        <w:rPr>
          <w:rFonts w:ascii="Liberation Serif" w:hAnsi="Liberation Serif" w:cs="Liberation Serif"/>
          <w:sz w:val="24"/>
          <w:szCs w:val="24"/>
        </w:rPr>
        <w:t>Принять информацию к сведению</w:t>
      </w:r>
      <w:r w:rsidR="00796E86">
        <w:rPr>
          <w:rFonts w:ascii="Liberation Serif" w:hAnsi="Liberation Serif" w:cs="Liberation Serif"/>
          <w:sz w:val="24"/>
          <w:szCs w:val="24"/>
        </w:rPr>
        <w:t xml:space="preserve"> (прилагается)</w:t>
      </w:r>
      <w:r w:rsidRPr="00796E86">
        <w:rPr>
          <w:rFonts w:ascii="Liberation Serif" w:hAnsi="Liberation Serif" w:cs="Liberation Serif"/>
          <w:sz w:val="24"/>
          <w:szCs w:val="24"/>
        </w:rPr>
        <w:t>.</w:t>
      </w:r>
    </w:p>
    <w:p w:rsidR="000D40B4" w:rsidRPr="00796E86" w:rsidRDefault="000D40B4" w:rsidP="00796E86">
      <w:pPr>
        <w:pStyle w:val="a3"/>
        <w:widowControl w:val="0"/>
        <w:numPr>
          <w:ilvl w:val="0"/>
          <w:numId w:val="1"/>
        </w:numPr>
        <w:spacing w:after="0"/>
        <w:ind w:left="0" w:right="57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96E8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96E86">
        <w:rPr>
          <w:rFonts w:ascii="Liberation Serif" w:hAnsi="Liberation Serif" w:cs="Liberation Serif"/>
          <w:sz w:val="24"/>
          <w:szCs w:val="24"/>
        </w:rPr>
        <w:t xml:space="preserve"> выполнением настоящего Решения возложить </w:t>
      </w:r>
      <w:r w:rsidR="00796E86">
        <w:rPr>
          <w:rFonts w:ascii="Liberation Serif" w:hAnsi="Liberation Serif" w:cs="Liberation Serif"/>
          <w:sz w:val="24"/>
          <w:szCs w:val="24"/>
        </w:rPr>
        <w:t>на К</w:t>
      </w:r>
      <w:r w:rsidR="00A95591" w:rsidRPr="00796E86">
        <w:rPr>
          <w:rFonts w:ascii="Liberation Serif" w:hAnsi="Liberation Serif" w:cs="Liberation Serif"/>
          <w:sz w:val="24"/>
          <w:szCs w:val="24"/>
        </w:rPr>
        <w:t xml:space="preserve">омиссию по социальной политике и вопросам местного самоуправления </w:t>
      </w:r>
      <w:r w:rsidRPr="00796E86">
        <w:rPr>
          <w:rFonts w:ascii="Liberation Serif" w:hAnsi="Liberation Serif" w:cs="Liberation Serif"/>
          <w:sz w:val="24"/>
          <w:szCs w:val="24"/>
        </w:rPr>
        <w:t>(Гетте И.Н.).</w:t>
      </w:r>
    </w:p>
    <w:p w:rsidR="000D40B4" w:rsidRPr="00796E86" w:rsidRDefault="000D40B4" w:rsidP="00796E86">
      <w:pPr>
        <w:widowControl w:val="0"/>
        <w:spacing w:after="0" w:line="240" w:lineRule="auto"/>
        <w:ind w:left="708" w:right="57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796E86" w:rsidRDefault="00662E06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0D40B4" w:rsidRPr="00796E86" w:rsidRDefault="00662E06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0D40B4" w:rsidRDefault="00796E86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96E86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0D40B4" w:rsidRPr="00796E86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0D40B4" w:rsidRPr="00796E86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0D40B4" w:rsidRPr="00796E86">
        <w:rPr>
          <w:rFonts w:ascii="Liberation Serif" w:hAnsi="Liberation Serif" w:cs="Liberation Serif"/>
          <w:sz w:val="24"/>
          <w:szCs w:val="24"/>
        </w:rPr>
        <w:t xml:space="preserve"> </w:t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</w:r>
      <w:r w:rsidR="000D40B4" w:rsidRPr="00796E86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662E06">
        <w:rPr>
          <w:rFonts w:ascii="Liberation Serif" w:hAnsi="Liberation Serif" w:cs="Liberation Serif"/>
          <w:sz w:val="24"/>
          <w:szCs w:val="24"/>
        </w:rPr>
        <w:t xml:space="preserve">    </w:t>
      </w:r>
      <w:r w:rsidR="000D40B4" w:rsidRPr="00796E86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796E86" w:rsidRDefault="00796E86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96E86" w:rsidRPr="00796E86" w:rsidRDefault="00796E86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  <w:r w:rsidRPr="00796E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Информация </w:t>
      </w: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о детском травматизме на территории Волчанского городского округа в 2019 году</w:t>
      </w: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1. Сведения о гибели несовершеннолетних</w:t>
      </w: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708"/>
        <w:gridCol w:w="1134"/>
        <w:gridCol w:w="1276"/>
        <w:gridCol w:w="709"/>
        <w:gridCol w:w="1276"/>
        <w:gridCol w:w="1559"/>
        <w:gridCol w:w="850"/>
      </w:tblGrid>
      <w:tr w:rsidR="00796E86" w:rsidRPr="00796E86" w:rsidTr="00F67156">
        <w:tc>
          <w:tcPr>
            <w:tcW w:w="10915" w:type="dxa"/>
            <w:gridSpan w:val="11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случаев гибели детей от 0 до 18 лет</w:t>
            </w:r>
          </w:p>
        </w:tc>
      </w:tr>
      <w:tr w:rsidR="00796E86" w:rsidRPr="00796E86" w:rsidTr="00F67156"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5" w:type="dxa"/>
            <w:gridSpan w:val="10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Из них по причинам</w:t>
            </w:r>
          </w:p>
        </w:tc>
      </w:tr>
      <w:tr w:rsidR="00796E86" w:rsidRPr="00796E86" w:rsidTr="00F67156">
        <w:trPr>
          <w:trHeight w:val="345"/>
        </w:trPr>
        <w:tc>
          <w:tcPr>
            <w:tcW w:w="850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Транспортной травмы</w:t>
            </w:r>
          </w:p>
        </w:tc>
        <w:tc>
          <w:tcPr>
            <w:tcW w:w="850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утопление</w:t>
            </w:r>
          </w:p>
        </w:tc>
        <w:tc>
          <w:tcPr>
            <w:tcW w:w="851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результате пожара</w:t>
            </w:r>
          </w:p>
        </w:tc>
        <w:tc>
          <w:tcPr>
            <w:tcW w:w="3118" w:type="dxa"/>
            <w:gridSpan w:val="3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 отравлений</w:t>
            </w:r>
          </w:p>
        </w:tc>
        <w:tc>
          <w:tcPr>
            <w:tcW w:w="709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суицид</w:t>
            </w:r>
          </w:p>
        </w:tc>
        <w:tc>
          <w:tcPr>
            <w:tcW w:w="1276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Жестокое обращение с детьми со стороны родителей</w:t>
            </w:r>
          </w:p>
        </w:tc>
        <w:tc>
          <w:tcPr>
            <w:tcW w:w="1559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8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Преступления, связанные с посягательством на жизнь и здоровье н/</w:t>
            </w:r>
            <w:proofErr w:type="gramStart"/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другие</w:t>
            </w:r>
          </w:p>
        </w:tc>
      </w:tr>
      <w:tr w:rsidR="00796E86" w:rsidRPr="00796E86" w:rsidTr="00F67156">
        <w:trPr>
          <w:trHeight w:val="345"/>
        </w:trPr>
        <w:tc>
          <w:tcPr>
            <w:tcW w:w="850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Наркотическими средствами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Алкоголе</w:t>
            </w:r>
            <w:proofErr w:type="gramEnd"/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содержащими жидкостями</w:t>
            </w:r>
          </w:p>
        </w:tc>
        <w:tc>
          <w:tcPr>
            <w:tcW w:w="709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796E86" w:rsidRPr="00796E86" w:rsidTr="00F67156">
        <w:trPr>
          <w:trHeight w:val="345"/>
        </w:trPr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2019г.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</w:tr>
      <w:tr w:rsidR="00796E86" w:rsidRPr="00796E86" w:rsidTr="00F67156">
        <w:trPr>
          <w:trHeight w:val="345"/>
        </w:trPr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2018г.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</w:tr>
      <w:tr w:rsidR="00796E86" w:rsidRPr="00796E86" w:rsidTr="00F67156">
        <w:trPr>
          <w:trHeight w:val="345"/>
        </w:trPr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2017г.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</w:tr>
    </w:tbl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2. Сведения о состоянии травматизма среди несовершеннолетних </w:t>
      </w: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 9 месяцев 2019 года</w:t>
      </w:r>
    </w:p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832"/>
        <w:gridCol w:w="2127"/>
        <w:gridCol w:w="1417"/>
        <w:gridCol w:w="992"/>
        <w:gridCol w:w="2127"/>
      </w:tblGrid>
      <w:tr w:rsidR="00796E86" w:rsidRPr="00796E86" w:rsidTr="00F67156">
        <w:trPr>
          <w:trHeight w:val="602"/>
        </w:trPr>
        <w:tc>
          <w:tcPr>
            <w:tcW w:w="9606" w:type="dxa"/>
            <w:gridSpan w:val="6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случаев травматизма детей от 0 до 18 лет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 мес.</w:t>
            </w:r>
          </w:p>
        </w:tc>
      </w:tr>
      <w:tr w:rsidR="00796E86" w:rsidRPr="00796E86" w:rsidTr="00F67156">
        <w:tc>
          <w:tcPr>
            <w:tcW w:w="111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Спортивные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травмы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Бытовые травмы</w:t>
            </w:r>
          </w:p>
        </w:tc>
        <w:tc>
          <w:tcPr>
            <w:tcW w:w="141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Школьные травмы</w:t>
            </w:r>
          </w:p>
        </w:tc>
        <w:tc>
          <w:tcPr>
            <w:tcW w:w="99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дтп</w:t>
            </w:r>
            <w:proofErr w:type="spellEnd"/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Уличные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травмы</w:t>
            </w:r>
          </w:p>
        </w:tc>
      </w:tr>
      <w:tr w:rsidR="00796E86" w:rsidRPr="00796E86" w:rsidTr="00F67156">
        <w:tc>
          <w:tcPr>
            <w:tcW w:w="111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2019г.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183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54 </w:t>
            </w:r>
          </w:p>
        </w:tc>
      </w:tr>
      <w:tr w:rsidR="00796E86" w:rsidRPr="00796E86" w:rsidTr="00F67156">
        <w:tc>
          <w:tcPr>
            <w:tcW w:w="111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2018г.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151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68</w:t>
            </w:r>
          </w:p>
        </w:tc>
      </w:tr>
      <w:tr w:rsidR="00796E86" w:rsidRPr="00796E86" w:rsidTr="00F67156">
        <w:tc>
          <w:tcPr>
            <w:tcW w:w="1111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2017г.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178</w:t>
            </w:r>
          </w:p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796E86" w:rsidRPr="00796E86" w:rsidRDefault="00796E86" w:rsidP="00796E86">
            <w:pPr>
              <w:tabs>
                <w:tab w:val="left" w:pos="160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96E8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82</w:t>
            </w:r>
          </w:p>
        </w:tc>
      </w:tr>
    </w:tbl>
    <w:p w:rsidR="00796E86" w:rsidRPr="00796E86" w:rsidRDefault="00796E86" w:rsidP="00796E86">
      <w:pPr>
        <w:tabs>
          <w:tab w:val="left" w:pos="1602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итогам 9 месяцев 2019 года на территории Волчанского городского округа наблюдается снижение травм среди несовершеннолетних в сравнении с 2018 годом, имеется положительная динамика: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отсутствуют дорожно-транспортные травмы;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снижение бытовых травм на уровне прошлого года;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 снижение уличных травм на 21% (АППГ 18%);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снижение школьных травм на 40%.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 при этом в 2019 году чуть возросли спортивные травмы на 50%; и возросла смертность детей по причине пожара и угарного газа,  погиб 1 ребенок (100%).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ГБУЗ СО "Волчанская городская больница" проводит ежемесячный анализ гибели и травматизма несовершеннолетних.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Анализ состояния гибели и травматизма несовершеннолетних показывает, что </w:t>
      </w:r>
      <w:proofErr w:type="spell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травмирование</w:t>
      </w:r>
      <w:proofErr w:type="spell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детей в Волчанском городском округе остается еще на высоком уровне.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Заслуживают  внимания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травмы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полученные на улице: дети катаются на велосипедах, самокатах, роликах, не соблюдая правила безопасности; бытовые травмы: ожоги и ошпаривания кипятком; спортивные травмы, полученные на тренировках.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Следовательно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проводить профилактические мероприятия, связанные с безопасностью детей на улице, в спортивных секциях и дома.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Профилактике травматизма несовершеннолетних в Волчанском городском округе уделяют внимание все заинтересованные службы и ведомства.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I. Отдел образования принимает дополнительные меры по снижению детского травматизма во время образовательной деятельности.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приемке образовательных организаций к новому учебному году было уделено особое внимание приемочной комиссией подготовке ОУ к вопросам ОТ и ТБ,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применяемая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 образовательном процессе среди учащихся.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различных ситуациях. </w:t>
      </w:r>
      <w:r w:rsidRPr="00796E86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Проведение мероприятий, посвященных Международному дню </w:t>
      </w:r>
      <w:r w:rsidRPr="00796E86">
        <w:rPr>
          <w:rFonts w:ascii="Liberation Serif" w:eastAsia="Times New Roman" w:hAnsi="Liberation Serif" w:cs="Liberation Serif"/>
          <w:bCs/>
          <w:sz w:val="24"/>
          <w:szCs w:val="24"/>
          <w:shd w:val="clear" w:color="auto" w:fill="FFFFFF"/>
          <w:lang w:eastAsia="ru-RU"/>
        </w:rPr>
        <w:t>охраны</w:t>
      </w:r>
      <w:r w:rsidRPr="00796E86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 </w:t>
      </w:r>
      <w:r w:rsidRPr="00796E86">
        <w:rPr>
          <w:rFonts w:ascii="Liberation Serif" w:eastAsia="Times New Roman" w:hAnsi="Liberation Serif" w:cs="Liberation Serif"/>
          <w:bCs/>
          <w:sz w:val="24"/>
          <w:szCs w:val="24"/>
          <w:shd w:val="clear" w:color="auto" w:fill="FFFFFF"/>
          <w:lang w:eastAsia="ru-RU"/>
        </w:rPr>
        <w:t>труда</w:t>
      </w:r>
      <w:r w:rsidRPr="00796E86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, 28 апреля.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базе образовательных учреждений организована работа дружин юных инспекторов движения (ЮИД), юных пожарных (ДЮП). С сотрудниками ОУ проводятся внеплановые инструктажи на совещаниях при директоре, производственных совещаниях. Кроме этого, вопросы профилактики гибели и травматизма решаются при подготовке к летней оздоровительной кампании - обучение технике безопасности проведены с работниками всех оздоровительных учреждений.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II. В ГБУЗ СО "Волчанская городская больница":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ежемесячно проводятся совещания с медицинским персоналом детской поликлиники, фельдшерами по вопросам профилактики детского травматизма;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проведение медицинскими работниками профилактических бесед с родителями в образовательных организациях Волчанского городского округа, участковыми терапевтами в детской поликлинике с выдачей брошюр;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 оформление информационных стендов в </w:t>
      </w:r>
      <w:proofErr w:type="spellStart"/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proofErr w:type="spellEnd"/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детской поликлинике;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проведение постоянного мониторинга состояния детей первого года жизни, патронаж детей из социально неблагополучных семей;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заслушивание главного врача ВГБ  ежеквартально по вопросам профилактики гибели  и травматизма несовершеннолетних на заседании  межведомственной комиссии по профилактике социально-значимых заболеваний;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В рамках реализации муниципальной программы "Формирование комфортной среды на территории Волчанского городского округа до 2024 года" проведена  работа по благоустройству 6 дворовых территорий и строительству детских площадок, которые установлены в соответствии  с условиями ГОСТа и безопасности. Нужно отметить, что благоустроенные дворы предусматривают безопасное катание на велосипедах, самокатах, роликах, других спортивных приспособлений. Работа по благоустройству ещё двух дворов продолжается.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На заседании территориальной комиссии по делам несовершеннолетних и защите их прав рассматривается вопрос профилактики гибели и травматизма на территории Волчанского городского округа.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III. В целях предупреждения аварийности и дорожно-транспортного травматизма, привития участникам дорожного движения дисциплины и культуры поведения на дорогах проводится комплекс пропагандистских мероприятий, в тесном </w:t>
      </w: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взаимодействии с 10-м ОП ММО МВД России «</w:t>
      </w:r>
      <w:proofErr w:type="spell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Краснотурьинский</w:t>
      </w:r>
      <w:proofErr w:type="spell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», это ряд ежегодных мероприятий по профилактике детского дорожно-транспортного травматизма: «Разработка маршрута Дом-Школа-Дом» для первоклассников,  «Внимание каникулы!», «Горка», «Внимание дети!», «Безопасная дорога», «Безопасное колесо» и др.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Волчанском городском округе осуществляет деятельность комиссия по безопасности дорожного движения, на заседаниях, которой рассматриваются вопросы состояния аварийности дорог, детского травматизма.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2019 году проводится ремонт дорог местного значения. В планах установка дорожных ограничительных знаков, дорожная разметка на вновь асфальтированных участках. На перекрестках дорог, в том числе на фонтанной площади в северной части города.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Установка новых опор уличного освещения.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Безопасность дорог вблизи образовательных учреждений: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Уделяется большое внимание установке дорожных ограждений вблизи образовательных учреждений в соответствии с ГОСТ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52289-2004 «Правила применения дорожных знаков, разметки, дорожных ограждений и направляющих устройств». Продолжается ремонт дорог вблизи  23 и 26 школ. 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IV</w:t>
      </w: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рамках муниципальной программы "Обеспечение общественной безопасности" рассматриваются вопросы пожарной безопасности: изготовление памяток, буклетов, </w:t>
      </w:r>
      <w:proofErr w:type="spell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извещателей</w:t>
      </w:r>
      <w:proofErr w:type="spell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задымления семей группы риска.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V</w:t>
      </w: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Огромную роль в профилактике гибели и травматизма играют средства массовой информации, официальные сайты учреждений Волчанского городского округа.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сайте Волчанского городского округа, а также на сайтах образовательных организаций регулярно размещаются материалы профилактического характера. Материалы публикуются в общеполитической газете "</w:t>
      </w:r>
      <w:proofErr w:type="spell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Волчанские</w:t>
      </w:r>
      <w:proofErr w:type="spell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вести"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VI</w:t>
      </w: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рамках профилактики гибели и травматизма несовершеннолетних на территории Волчанского городского округа запланированы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 мероприятия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Усиление межведомственного взаимодействия по вопросам профилактики детского травматизма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рамках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заседаний межведомственных комиссий.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Приведение к национальным стандартам пешеходных переходов вблизи образовательных организаций.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Продолжение информационно-просветительской деятельности по вопросам безопасного поведения несовершеннолетних.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Постоянное повышение профессионализма педагогического персонала, усиление знаний о возрастных особенностях детей и подростков.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Создание безопасных условий для учебы и досуга. </w:t>
      </w:r>
    </w:p>
    <w:p w:rsidR="00796E86" w:rsidRPr="00796E86" w:rsidRDefault="00796E86" w:rsidP="00796E86">
      <w:pPr>
        <w:tabs>
          <w:tab w:val="left" w:pos="1602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Благоустройство территорий города (дороги, </w:t>
      </w:r>
      <w:proofErr w:type="gramStart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пешеходный</w:t>
      </w:r>
      <w:proofErr w:type="gramEnd"/>
      <w:r w:rsidRPr="00796E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дорожки, дворовые территории, др.) </w:t>
      </w:r>
    </w:p>
    <w:p w:rsidR="00796E86" w:rsidRPr="00796E86" w:rsidRDefault="00796E86" w:rsidP="00796E8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6276" w:rsidRPr="00796E86" w:rsidRDefault="00356276" w:rsidP="000D40B4">
      <w:pPr>
        <w:rPr>
          <w:rFonts w:ascii="Liberation Serif" w:hAnsi="Liberation Serif" w:cs="Liberation Serif"/>
          <w:sz w:val="24"/>
          <w:szCs w:val="24"/>
        </w:rPr>
      </w:pPr>
    </w:p>
    <w:sectPr w:rsidR="00356276" w:rsidRPr="00796E86" w:rsidSect="00662E06">
      <w:footerReference w:type="even" r:id="rId9"/>
      <w:foot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9" w:rsidRDefault="00757659">
      <w:r>
        <w:separator/>
      </w:r>
    </w:p>
  </w:endnote>
  <w:endnote w:type="continuationSeparator" w:id="0">
    <w:p w:rsidR="00757659" w:rsidRDefault="007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1D454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1D454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E06">
      <w:rPr>
        <w:rStyle w:val="a6"/>
        <w:noProof/>
      </w:rPr>
      <w:t>4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9" w:rsidRDefault="00757659">
      <w:r>
        <w:separator/>
      </w:r>
    </w:p>
  </w:footnote>
  <w:footnote w:type="continuationSeparator" w:id="0">
    <w:p w:rsidR="00757659" w:rsidRDefault="007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D40B4"/>
    <w:rsid w:val="000E187F"/>
    <w:rsid w:val="001360C7"/>
    <w:rsid w:val="00143A8F"/>
    <w:rsid w:val="001458CD"/>
    <w:rsid w:val="00162019"/>
    <w:rsid w:val="001765CE"/>
    <w:rsid w:val="001C20E3"/>
    <w:rsid w:val="001D454F"/>
    <w:rsid w:val="001F2E8A"/>
    <w:rsid w:val="002B4253"/>
    <w:rsid w:val="00356276"/>
    <w:rsid w:val="003A3FFA"/>
    <w:rsid w:val="003B2C1F"/>
    <w:rsid w:val="0047712B"/>
    <w:rsid w:val="005404C6"/>
    <w:rsid w:val="005B3352"/>
    <w:rsid w:val="00621E27"/>
    <w:rsid w:val="00662E06"/>
    <w:rsid w:val="006F4F19"/>
    <w:rsid w:val="00742763"/>
    <w:rsid w:val="00757659"/>
    <w:rsid w:val="00767CFB"/>
    <w:rsid w:val="00796E86"/>
    <w:rsid w:val="007C0EBF"/>
    <w:rsid w:val="00801166"/>
    <w:rsid w:val="0082244D"/>
    <w:rsid w:val="0096675A"/>
    <w:rsid w:val="00977B2A"/>
    <w:rsid w:val="009A033D"/>
    <w:rsid w:val="00A415B8"/>
    <w:rsid w:val="00A95591"/>
    <w:rsid w:val="00AC3417"/>
    <w:rsid w:val="00B77A48"/>
    <w:rsid w:val="00B9295F"/>
    <w:rsid w:val="00BA4BD3"/>
    <w:rsid w:val="00BB4E1D"/>
    <w:rsid w:val="00C23BF9"/>
    <w:rsid w:val="00CB2851"/>
    <w:rsid w:val="00D251AF"/>
    <w:rsid w:val="00D4086C"/>
    <w:rsid w:val="00E03C5D"/>
    <w:rsid w:val="00E44399"/>
    <w:rsid w:val="00EF5E5F"/>
    <w:rsid w:val="00F2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5</cp:revision>
  <cp:lastPrinted>2019-10-31T04:46:00Z</cp:lastPrinted>
  <dcterms:created xsi:type="dcterms:W3CDTF">2019-10-25T04:06:00Z</dcterms:created>
  <dcterms:modified xsi:type="dcterms:W3CDTF">2019-10-31T04:48:00Z</dcterms:modified>
</cp:coreProperties>
</file>